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12B" w:rsidRPr="00573265" w:rsidRDefault="00573265" w:rsidP="00573265">
      <w:pPr>
        <w:spacing w:after="0" w:line="240" w:lineRule="auto"/>
        <w:jc w:val="both"/>
        <w:rPr>
          <w:rFonts w:ascii="Arial" w:hAnsi="Arial" w:cs="Arial"/>
          <w:sz w:val="21"/>
          <w:szCs w:val="21"/>
        </w:rPr>
      </w:pPr>
      <w:r w:rsidRPr="00573265">
        <w:rPr>
          <w:rFonts w:ascii="Arial" w:hAnsi="Arial" w:cs="Arial"/>
          <w:noProof/>
          <w:sz w:val="21"/>
          <w:szCs w:val="21"/>
          <w:lang w:eastAsia="ru-RU"/>
        </w:rPr>
        <w:drawing>
          <wp:inline distT="0" distB="0" distL="0" distR="0">
            <wp:extent cx="1343025" cy="266700"/>
            <wp:effectExtent l="19050" t="0" r="9525" b="0"/>
            <wp:docPr id="1" name="Рисунок 1" descr="“Зарплатных проектов” нет ни в одной развитой стране мира, не говоря уже о “зарплатном рабстве” - эксперты : Новости УНИ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рплатных проектов” нет ни в одной развитой стране мира, не говоря уже о “зарплатном рабстве” - эксперты : Новости УНИАН"/>
                    <pic:cNvPicPr>
                      <a:picLocks noChangeAspect="1" noChangeArrowheads="1"/>
                    </pic:cNvPicPr>
                  </pic:nvPicPr>
                  <pic:blipFill>
                    <a:blip r:embed="rId4"/>
                    <a:srcRect/>
                    <a:stretch>
                      <a:fillRect/>
                    </a:stretch>
                  </pic:blipFill>
                  <pic:spPr bwMode="auto">
                    <a:xfrm>
                      <a:off x="0" y="0"/>
                      <a:ext cx="1343025" cy="266700"/>
                    </a:xfrm>
                    <a:prstGeom prst="rect">
                      <a:avLst/>
                    </a:prstGeom>
                    <a:noFill/>
                    <a:ln w="9525">
                      <a:noFill/>
                      <a:miter lim="800000"/>
                      <a:headEnd/>
                      <a:tailEnd/>
                    </a:ln>
                  </pic:spPr>
                </pic:pic>
              </a:graphicData>
            </a:graphic>
          </wp:inline>
        </w:drawing>
      </w:r>
    </w:p>
    <w:p w:rsidR="00573265" w:rsidRPr="00573265" w:rsidRDefault="00573265" w:rsidP="00573265">
      <w:pPr>
        <w:spacing w:after="0" w:line="240" w:lineRule="auto"/>
        <w:jc w:val="both"/>
        <w:rPr>
          <w:rFonts w:ascii="Arial" w:hAnsi="Arial" w:cs="Arial"/>
          <w:sz w:val="21"/>
          <w:szCs w:val="21"/>
        </w:rPr>
      </w:pPr>
    </w:p>
    <w:p w:rsidR="00573265" w:rsidRPr="005B1269" w:rsidRDefault="005B1269" w:rsidP="00573265">
      <w:pPr>
        <w:shd w:val="clear" w:color="auto" w:fill="FFFFFF"/>
        <w:spacing w:after="0" w:line="240" w:lineRule="auto"/>
        <w:jc w:val="center"/>
        <w:outlineLvl w:val="0"/>
        <w:rPr>
          <w:rFonts w:ascii="Bernard MT Condensed" w:eastAsia="Times New Roman" w:hAnsi="Bernard MT Condensed" w:cs="Arial"/>
          <w:b/>
          <w:color w:val="2A3643"/>
          <w:kern w:val="36"/>
          <w:sz w:val="32"/>
          <w:szCs w:val="32"/>
          <w:lang w:eastAsia="ru-RU"/>
        </w:rPr>
      </w:pPr>
      <w:r>
        <w:rPr>
          <w:rFonts w:eastAsia="Times New Roman" w:cs="Arial"/>
          <w:b/>
          <w:color w:val="2A3643"/>
          <w:kern w:val="36"/>
          <w:sz w:val="32"/>
          <w:szCs w:val="32"/>
          <w:lang w:eastAsia="ru-RU"/>
        </w:rPr>
        <w:t>«</w:t>
      </w:r>
      <w:proofErr w:type="spellStart"/>
      <w:r w:rsidR="00573265" w:rsidRPr="00573265">
        <w:rPr>
          <w:rFonts w:ascii="Arial" w:eastAsia="Times New Roman" w:hAnsi="Arial" w:cs="Arial"/>
          <w:b/>
          <w:color w:val="2A3643"/>
          <w:kern w:val="36"/>
          <w:sz w:val="32"/>
          <w:szCs w:val="32"/>
          <w:lang w:eastAsia="ru-RU"/>
        </w:rPr>
        <w:t>Зарплатных</w:t>
      </w:r>
      <w:proofErr w:type="spellEnd"/>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проектов</w:t>
      </w:r>
      <w:r>
        <w:rPr>
          <w:rFonts w:eastAsia="Times New Roman" w:cs="Arial"/>
          <w:b/>
          <w:color w:val="2A3643"/>
          <w:kern w:val="36"/>
          <w:sz w:val="32"/>
          <w:szCs w:val="32"/>
          <w:lang w:eastAsia="ru-RU"/>
        </w:rPr>
        <w:t>»</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нет</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ни</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в</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одной</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развитой</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стране</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мира</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не</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говоря</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уже</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о</w:t>
      </w:r>
      <w:r w:rsidR="00573265" w:rsidRPr="00573265">
        <w:rPr>
          <w:rFonts w:ascii="Bernard MT Condensed" w:eastAsia="Times New Roman" w:hAnsi="Bernard MT Condensed" w:cs="Arial"/>
          <w:b/>
          <w:color w:val="2A3643"/>
          <w:kern w:val="36"/>
          <w:sz w:val="32"/>
          <w:szCs w:val="32"/>
          <w:lang w:eastAsia="ru-RU"/>
        </w:rPr>
        <w:t xml:space="preserve"> </w:t>
      </w:r>
      <w:r>
        <w:rPr>
          <w:rFonts w:eastAsia="Times New Roman" w:cs="Arial"/>
          <w:b/>
          <w:color w:val="2A3643"/>
          <w:kern w:val="36"/>
          <w:sz w:val="32"/>
          <w:szCs w:val="32"/>
          <w:lang w:eastAsia="ru-RU"/>
        </w:rPr>
        <w:t>«</w:t>
      </w:r>
      <w:proofErr w:type="spellStart"/>
      <w:r w:rsidR="00573265" w:rsidRPr="00573265">
        <w:rPr>
          <w:rFonts w:ascii="Arial" w:eastAsia="Times New Roman" w:hAnsi="Arial" w:cs="Arial"/>
          <w:b/>
          <w:color w:val="2A3643"/>
          <w:kern w:val="36"/>
          <w:sz w:val="32"/>
          <w:szCs w:val="32"/>
          <w:lang w:eastAsia="ru-RU"/>
        </w:rPr>
        <w:t>зарплатном</w:t>
      </w:r>
      <w:proofErr w:type="spellEnd"/>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рабстве</w:t>
      </w:r>
      <w:r>
        <w:rPr>
          <w:rFonts w:eastAsia="Times New Roman" w:cs="Arial"/>
          <w:b/>
          <w:color w:val="2A3643"/>
          <w:kern w:val="36"/>
          <w:sz w:val="32"/>
          <w:szCs w:val="32"/>
          <w:lang w:eastAsia="ru-RU"/>
        </w:rPr>
        <w:t>»</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B1269">
        <w:rPr>
          <w:rFonts w:ascii="Bernard MT Condensed" w:eastAsia="Times New Roman" w:hAnsi="Bernard MT Condensed" w:cs="Arial"/>
          <w:b/>
          <w:color w:val="2A3643"/>
          <w:kern w:val="36"/>
          <w:sz w:val="32"/>
          <w:szCs w:val="32"/>
          <w:lang w:eastAsia="ru-RU"/>
        </w:rPr>
        <w:t>–</w:t>
      </w:r>
      <w:r w:rsidR="00573265" w:rsidRPr="00573265">
        <w:rPr>
          <w:rFonts w:ascii="Bernard MT Condensed" w:eastAsia="Times New Roman" w:hAnsi="Bernard MT Condensed" w:cs="Arial"/>
          <w:b/>
          <w:color w:val="2A3643"/>
          <w:kern w:val="36"/>
          <w:sz w:val="32"/>
          <w:szCs w:val="32"/>
          <w:lang w:eastAsia="ru-RU"/>
        </w:rPr>
        <w:t xml:space="preserve"> </w:t>
      </w:r>
      <w:r w:rsidR="00573265" w:rsidRPr="00573265">
        <w:rPr>
          <w:rFonts w:ascii="Arial" w:eastAsia="Times New Roman" w:hAnsi="Arial" w:cs="Arial"/>
          <w:b/>
          <w:color w:val="2A3643"/>
          <w:kern w:val="36"/>
          <w:sz w:val="32"/>
          <w:szCs w:val="32"/>
          <w:lang w:eastAsia="ru-RU"/>
        </w:rPr>
        <w:t>эксперты</w:t>
      </w:r>
    </w:p>
    <w:p w:rsidR="00573265" w:rsidRPr="00573265" w:rsidRDefault="00573265" w:rsidP="00573265">
      <w:pPr>
        <w:shd w:val="clear" w:color="auto" w:fill="FFFFFF"/>
        <w:spacing w:after="0" w:line="240" w:lineRule="auto"/>
        <w:jc w:val="both"/>
        <w:outlineLvl w:val="0"/>
        <w:rPr>
          <w:rFonts w:ascii="Arial" w:eastAsia="Times New Roman" w:hAnsi="Arial" w:cs="Arial"/>
          <w:color w:val="2A3643"/>
          <w:kern w:val="36"/>
          <w:sz w:val="21"/>
          <w:szCs w:val="21"/>
          <w:lang w:eastAsia="ru-RU"/>
        </w:rPr>
      </w:pPr>
    </w:p>
    <w:p w:rsidR="00573265" w:rsidRPr="00573265" w:rsidRDefault="00573265" w:rsidP="00573265">
      <w:pPr>
        <w:shd w:val="clear" w:color="auto" w:fill="FFFFFF"/>
        <w:spacing w:after="0" w:line="240" w:lineRule="auto"/>
        <w:jc w:val="right"/>
        <w:rPr>
          <w:rFonts w:ascii="Arial" w:eastAsia="Times New Roman" w:hAnsi="Arial" w:cs="Arial"/>
          <w:i/>
          <w:color w:val="2A3643"/>
          <w:sz w:val="21"/>
          <w:szCs w:val="21"/>
          <w:lang w:eastAsia="ru-RU"/>
        </w:rPr>
      </w:pPr>
      <w:r w:rsidRPr="00573265">
        <w:rPr>
          <w:rFonts w:ascii="Arial" w:eastAsia="Times New Roman" w:hAnsi="Arial" w:cs="Arial"/>
          <w:i/>
          <w:color w:val="2A3643"/>
          <w:sz w:val="21"/>
          <w:szCs w:val="21"/>
          <w:lang w:eastAsia="ru-RU"/>
        </w:rPr>
        <w:t>07.04.2015 | 15:53</w:t>
      </w:r>
    </w:p>
    <w:p w:rsidR="00573265" w:rsidRPr="00573265" w:rsidRDefault="00573265" w:rsidP="00573265">
      <w:pPr>
        <w:spacing w:after="0" w:line="240" w:lineRule="auto"/>
        <w:jc w:val="both"/>
        <w:rPr>
          <w:rFonts w:ascii="Arial" w:eastAsia="Times New Roman" w:hAnsi="Arial" w:cs="Arial"/>
          <w:color w:val="2A3643"/>
          <w:sz w:val="21"/>
          <w:szCs w:val="21"/>
          <w:lang w:eastAsia="ru-RU"/>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Понятие “</w:t>
      </w:r>
      <w:proofErr w:type="spellStart"/>
      <w:r w:rsidRPr="00573265">
        <w:rPr>
          <w:rFonts w:ascii="Arial" w:hAnsi="Arial" w:cs="Arial"/>
          <w:color w:val="2A3643"/>
          <w:sz w:val="21"/>
          <w:szCs w:val="21"/>
        </w:rPr>
        <w:t>зарплатный</w:t>
      </w:r>
      <w:proofErr w:type="spellEnd"/>
      <w:r w:rsidRPr="00573265">
        <w:rPr>
          <w:rFonts w:ascii="Arial" w:hAnsi="Arial" w:cs="Arial"/>
          <w:color w:val="2A3643"/>
          <w:sz w:val="21"/>
          <w:szCs w:val="21"/>
        </w:rPr>
        <w:t xml:space="preserve"> проект” является своеобразным атавистическим феноменом, с которым знакомы исключительно граждане государств, образовавшихся вследствие распада СССР в 1991 году. В странах Западной и Центральной Европы процесс выплаты заработной платы государственным служащим, других выплат социального характера (пенсии, пособия, компенсации, стипендии) организован принципиально иначе – просто и эффективно. Об этом рассказала руководитель “Ассоциации защиты финансовых прав” Анна Рак.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Приведем примеры Австрии и Германии. Работники государственных и коммунальных предприятий этих стран, открывают себе счета в банках еще до официального поступления на службу. Более того, наличие банковского счета является обязательным предварительным условием для оформления трудовых отношений. Для получения заработной платы сотрудник предоставляет в бухгалтерию предприятия-работодателя реквизиты своего банковского счета. Очевидно, что при такой организации процесса какие-либо меры для принудительного открытия счета работника в заранее обусловленных банках исключены.</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 xml:space="preserve">Обслуживание счетов, предназначенных для получения заработной платы сотрудниками государственных и коммунальных предприятий, стипендии, пенсии, социальных выплат осуществляется банком бесплатно (это оговорено законодательно и содержится в лицензионных требованиях к банкам).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 xml:space="preserve">В Германии и Австрии данные операции преимущественно сосредоточены в специализированных </w:t>
      </w:r>
      <w:proofErr w:type="spellStart"/>
      <w:r w:rsidRPr="00573265">
        <w:rPr>
          <w:rFonts w:ascii="Arial" w:hAnsi="Arial" w:cs="Arial"/>
          <w:color w:val="2A3643"/>
          <w:sz w:val="21"/>
          <w:szCs w:val="21"/>
        </w:rPr>
        <w:t>Sparkasse</w:t>
      </w:r>
      <w:proofErr w:type="spellEnd"/>
      <w:r w:rsidRPr="00573265">
        <w:rPr>
          <w:rFonts w:ascii="Arial" w:hAnsi="Arial" w:cs="Arial"/>
          <w:color w:val="2A3643"/>
          <w:sz w:val="21"/>
          <w:szCs w:val="21"/>
        </w:rPr>
        <w:t xml:space="preserve"> </w:t>
      </w:r>
      <w:proofErr w:type="spellStart"/>
      <w:r w:rsidRPr="00573265">
        <w:rPr>
          <w:rFonts w:ascii="Arial" w:hAnsi="Arial" w:cs="Arial"/>
          <w:color w:val="2A3643"/>
          <w:sz w:val="21"/>
          <w:szCs w:val="21"/>
        </w:rPr>
        <w:t>Bank</w:t>
      </w:r>
      <w:proofErr w:type="spellEnd"/>
      <w:r w:rsidRPr="00573265">
        <w:rPr>
          <w:rFonts w:ascii="Arial" w:hAnsi="Arial" w:cs="Arial"/>
          <w:color w:val="2A3643"/>
          <w:sz w:val="21"/>
          <w:szCs w:val="21"/>
        </w:rPr>
        <w:t xml:space="preserve"> (каждая из “земель”, как правило,  имеет </w:t>
      </w:r>
      <w:proofErr w:type="gramStart"/>
      <w:r w:rsidRPr="00573265">
        <w:rPr>
          <w:rFonts w:ascii="Arial" w:hAnsi="Arial" w:cs="Arial"/>
          <w:color w:val="2A3643"/>
          <w:sz w:val="21"/>
          <w:szCs w:val="21"/>
        </w:rPr>
        <w:t>свой</w:t>
      </w:r>
      <w:proofErr w:type="gramEnd"/>
      <w:r w:rsidRPr="00573265">
        <w:rPr>
          <w:rFonts w:ascii="Arial" w:hAnsi="Arial" w:cs="Arial"/>
          <w:color w:val="2A3643"/>
          <w:sz w:val="21"/>
          <w:szCs w:val="21"/>
        </w:rPr>
        <w:t xml:space="preserve"> региональный </w:t>
      </w:r>
      <w:proofErr w:type="spellStart"/>
      <w:r w:rsidRPr="00573265">
        <w:rPr>
          <w:rFonts w:ascii="Arial" w:hAnsi="Arial" w:cs="Arial"/>
          <w:color w:val="2A3643"/>
          <w:sz w:val="21"/>
          <w:szCs w:val="21"/>
        </w:rPr>
        <w:t>Sparkasse</w:t>
      </w:r>
      <w:proofErr w:type="spellEnd"/>
      <w:r w:rsidRPr="00573265">
        <w:rPr>
          <w:rFonts w:ascii="Arial" w:hAnsi="Arial" w:cs="Arial"/>
          <w:color w:val="2A3643"/>
          <w:sz w:val="21"/>
          <w:szCs w:val="21"/>
        </w:rPr>
        <w:t xml:space="preserve"> </w:t>
      </w:r>
      <w:proofErr w:type="spellStart"/>
      <w:r w:rsidRPr="00573265">
        <w:rPr>
          <w:rFonts w:ascii="Arial" w:hAnsi="Arial" w:cs="Arial"/>
          <w:color w:val="2A3643"/>
          <w:sz w:val="21"/>
          <w:szCs w:val="21"/>
        </w:rPr>
        <w:t>Bank</w:t>
      </w:r>
      <w:proofErr w:type="spellEnd"/>
      <w:r w:rsidRPr="00573265">
        <w:rPr>
          <w:rFonts w:ascii="Arial" w:hAnsi="Arial" w:cs="Arial"/>
          <w:color w:val="2A3643"/>
          <w:sz w:val="21"/>
          <w:szCs w:val="21"/>
        </w:rPr>
        <w:t>). Однако</w:t>
      </w:r>
      <w:proofErr w:type="gramStart"/>
      <w:r w:rsidRPr="00573265">
        <w:rPr>
          <w:rFonts w:ascii="Arial" w:hAnsi="Arial" w:cs="Arial"/>
          <w:color w:val="2A3643"/>
          <w:sz w:val="21"/>
          <w:szCs w:val="21"/>
        </w:rPr>
        <w:t>,</w:t>
      </w:r>
      <w:proofErr w:type="gramEnd"/>
      <w:r w:rsidRPr="00573265">
        <w:rPr>
          <w:rFonts w:ascii="Arial" w:hAnsi="Arial" w:cs="Arial"/>
          <w:color w:val="2A3643"/>
          <w:sz w:val="21"/>
          <w:szCs w:val="21"/>
        </w:rPr>
        <w:t xml:space="preserve"> работник государственного или коммунального предприятия имеет безусловное право открывать себе счет для получения зарплаты в любом другом банковском учреждении. Превалирующий мотив выбора работниками государственных и коммунальных предприятий Австрии и Германии в пользу </w:t>
      </w:r>
      <w:proofErr w:type="spellStart"/>
      <w:r w:rsidRPr="00573265">
        <w:rPr>
          <w:rFonts w:ascii="Arial" w:hAnsi="Arial" w:cs="Arial"/>
          <w:color w:val="2A3643"/>
          <w:sz w:val="21"/>
          <w:szCs w:val="21"/>
        </w:rPr>
        <w:t>Sparkasse</w:t>
      </w:r>
      <w:proofErr w:type="spellEnd"/>
      <w:r w:rsidRPr="00573265">
        <w:rPr>
          <w:rFonts w:ascii="Arial" w:hAnsi="Arial" w:cs="Arial"/>
          <w:color w:val="2A3643"/>
          <w:sz w:val="21"/>
          <w:szCs w:val="21"/>
        </w:rPr>
        <w:t xml:space="preserve"> </w:t>
      </w:r>
      <w:proofErr w:type="spellStart"/>
      <w:r w:rsidRPr="00573265">
        <w:rPr>
          <w:rFonts w:ascii="Arial" w:hAnsi="Arial" w:cs="Arial"/>
          <w:color w:val="2A3643"/>
          <w:sz w:val="21"/>
          <w:szCs w:val="21"/>
        </w:rPr>
        <w:t>Bank</w:t>
      </w:r>
      <w:proofErr w:type="spellEnd"/>
      <w:r w:rsidRPr="00573265">
        <w:rPr>
          <w:rFonts w:ascii="Arial" w:hAnsi="Arial" w:cs="Arial"/>
          <w:color w:val="2A3643"/>
          <w:sz w:val="21"/>
          <w:szCs w:val="21"/>
        </w:rPr>
        <w:t xml:space="preserve"> обусловлен именно отсутствием платы за ведение и обслуживание счетов, на которые зачисляется заработная плата.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Как и во многих постсоветских государствах, такое понятие “</w:t>
      </w:r>
      <w:proofErr w:type="spellStart"/>
      <w:r w:rsidRPr="00573265">
        <w:rPr>
          <w:rFonts w:ascii="Arial" w:hAnsi="Arial" w:cs="Arial"/>
          <w:color w:val="2A3643"/>
          <w:sz w:val="21"/>
          <w:szCs w:val="21"/>
        </w:rPr>
        <w:t>зарплатный</w:t>
      </w:r>
      <w:proofErr w:type="spellEnd"/>
      <w:r w:rsidRPr="00573265">
        <w:rPr>
          <w:rFonts w:ascii="Arial" w:hAnsi="Arial" w:cs="Arial"/>
          <w:color w:val="2A3643"/>
          <w:sz w:val="21"/>
          <w:szCs w:val="21"/>
        </w:rPr>
        <w:t xml:space="preserve"> проект” для Грузии было не чуждо. С начала использования пластиковых карт, так же как и в Украине, организации заключали договора с определенным банком и выпускали карты именно этого банка всем сотрудникам.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 xml:space="preserve">До конца 2013 года работников государственной и бюджетной сферы Грузии переводили на обслуживание из одного банка в другой банк исключительно по воле руководителей соответствующих учреждений. С января 2014 года для ряда бюджетных организаций стартовал экспериментальный проект, в рамках перехода на европейские технологии, по зачислению зарплаты на карты в формате IBAN.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Данная технология предполагает, что сотрудник при поступлении на работу в государственную или бюджетную организацию, указывает бухгалтеру организации номер своей банковской карты, чего достаточно для зачисления средств. Важно, что работник имеет право на собственное усмотрение выбирать банк для обслуживания счета, на который ему будет зачисляться заработная плата.</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 xml:space="preserve">Самым интересным для Украины, по мнению руководителя “Ассоциации защиты финансовых прав” Анна Рак, является опыт Грузии. В Грузии для государственных и бюджетных учреждений, а также для </w:t>
      </w:r>
      <w:proofErr w:type="spellStart"/>
      <w:r w:rsidRPr="00573265">
        <w:rPr>
          <w:rFonts w:ascii="Arial" w:hAnsi="Arial" w:cs="Arial"/>
          <w:color w:val="2A3643"/>
          <w:sz w:val="21"/>
          <w:szCs w:val="21"/>
        </w:rPr>
        <w:t>госказначейства</w:t>
      </w:r>
      <w:proofErr w:type="spellEnd"/>
      <w:r w:rsidRPr="00573265">
        <w:rPr>
          <w:rFonts w:ascii="Arial" w:hAnsi="Arial" w:cs="Arial"/>
          <w:color w:val="2A3643"/>
          <w:sz w:val="21"/>
          <w:szCs w:val="21"/>
        </w:rPr>
        <w:t xml:space="preserve">, разработано специальное программное обеспечение, которое предполагает шифрование номера карты, реквизитов банка и других соответствующих данных в один код, который знает сотрудник-владелец карты. Для обеспечения процесса перечисления заработной платы он передает код бухгалтеру организации, в которой работает. В период выплаты заработной платы бухгалтер предприятия передает в </w:t>
      </w:r>
      <w:proofErr w:type="spellStart"/>
      <w:r w:rsidRPr="00573265">
        <w:rPr>
          <w:rFonts w:ascii="Arial" w:hAnsi="Arial" w:cs="Arial"/>
          <w:color w:val="2A3643"/>
          <w:sz w:val="21"/>
          <w:szCs w:val="21"/>
        </w:rPr>
        <w:t>госказначейство</w:t>
      </w:r>
      <w:proofErr w:type="spellEnd"/>
      <w:r w:rsidRPr="00573265">
        <w:rPr>
          <w:rFonts w:ascii="Arial" w:hAnsi="Arial" w:cs="Arial"/>
          <w:color w:val="2A3643"/>
          <w:sz w:val="21"/>
          <w:szCs w:val="21"/>
        </w:rPr>
        <w:t xml:space="preserve"> только код карты сотрудника и сумму причитающейся выплаты, а </w:t>
      </w:r>
      <w:proofErr w:type="spellStart"/>
      <w:r w:rsidRPr="00573265">
        <w:rPr>
          <w:rFonts w:ascii="Arial" w:hAnsi="Arial" w:cs="Arial"/>
          <w:color w:val="2A3643"/>
          <w:sz w:val="21"/>
          <w:szCs w:val="21"/>
        </w:rPr>
        <w:t>госказначейство</w:t>
      </w:r>
      <w:proofErr w:type="spellEnd"/>
      <w:r w:rsidRPr="00573265">
        <w:rPr>
          <w:rFonts w:ascii="Arial" w:hAnsi="Arial" w:cs="Arial"/>
          <w:color w:val="2A3643"/>
          <w:sz w:val="21"/>
          <w:szCs w:val="21"/>
        </w:rPr>
        <w:t xml:space="preserve"> в автоматическом режиме распределяет средства, которые практически моментально зачисляются на банковские карты работников государственных и бюджетных учреждений.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 xml:space="preserve">Данная технология, применяемая в Грузии с начала 2014 года, полностью исключает возможность диктата по отношению к сотруднику со стороны работодателя относительно вопроса - в каком банке открывать карту, какие комиссионные за ее обслуживание платить, какими сервисами банка пользоваться или не пользоваться. В свою очередь, государственная или бюджетная  организация не несет ответственность за своевременность зачисления заработной платы госслужащих через тот или иной банк, неся ответственность только за вовремя переданные данные в </w:t>
      </w:r>
      <w:proofErr w:type="spellStart"/>
      <w:r w:rsidRPr="00573265">
        <w:rPr>
          <w:rFonts w:ascii="Arial" w:hAnsi="Arial" w:cs="Arial"/>
          <w:color w:val="2A3643"/>
          <w:sz w:val="21"/>
          <w:szCs w:val="21"/>
        </w:rPr>
        <w:t>госказначейство</w:t>
      </w:r>
      <w:proofErr w:type="spellEnd"/>
      <w:r w:rsidRPr="00573265">
        <w:rPr>
          <w:rFonts w:ascii="Arial" w:hAnsi="Arial" w:cs="Arial"/>
          <w:color w:val="2A3643"/>
          <w:sz w:val="21"/>
          <w:szCs w:val="21"/>
        </w:rPr>
        <w:t>. </w:t>
      </w:r>
    </w:p>
    <w:p w:rsidR="00573265" w:rsidRPr="00573265" w:rsidRDefault="00573265" w:rsidP="00573265">
      <w:pPr>
        <w:pStyle w:val="a6"/>
        <w:shd w:val="clear" w:color="auto" w:fill="FFFFFF"/>
        <w:spacing w:before="0" w:beforeAutospacing="0" w:after="0" w:afterAutospacing="0"/>
        <w:jc w:val="both"/>
        <w:rPr>
          <w:rFonts w:ascii="Arial" w:hAnsi="Arial" w:cs="Arial"/>
          <w:color w:val="2A3643"/>
          <w:sz w:val="10"/>
          <w:szCs w:val="10"/>
        </w:rPr>
      </w:pPr>
    </w:p>
    <w:p w:rsidR="00573265" w:rsidRPr="00573265" w:rsidRDefault="00573265" w:rsidP="00573265">
      <w:pPr>
        <w:pStyle w:val="a6"/>
        <w:shd w:val="clear" w:color="auto" w:fill="FFFFFF"/>
        <w:spacing w:before="0" w:beforeAutospacing="0" w:after="0" w:afterAutospacing="0"/>
        <w:ind w:firstLine="708"/>
        <w:jc w:val="both"/>
        <w:rPr>
          <w:rFonts w:ascii="Arial" w:hAnsi="Arial" w:cs="Arial"/>
          <w:color w:val="2A3643"/>
          <w:sz w:val="21"/>
          <w:szCs w:val="21"/>
        </w:rPr>
      </w:pPr>
      <w:r w:rsidRPr="00573265">
        <w:rPr>
          <w:rFonts w:ascii="Arial" w:hAnsi="Arial" w:cs="Arial"/>
          <w:color w:val="2A3643"/>
          <w:sz w:val="21"/>
          <w:szCs w:val="21"/>
        </w:rPr>
        <w:t>Важным является и тот факт, что внедренная в Грузии система полностью исключает коррупцию в виде специфических договоренностей руководителя госучреждения и банка.</w:t>
      </w:r>
    </w:p>
    <w:sectPr w:rsidR="00573265" w:rsidRPr="00573265" w:rsidSect="00573265">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73265"/>
    <w:rsid w:val="00573265"/>
    <w:rsid w:val="005B1269"/>
    <w:rsid w:val="00AD31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12B"/>
  </w:style>
  <w:style w:type="paragraph" w:styleId="1">
    <w:name w:val="heading 1"/>
    <w:basedOn w:val="a"/>
    <w:link w:val="10"/>
    <w:uiPriority w:val="9"/>
    <w:qFormat/>
    <w:rsid w:val="005732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26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265"/>
    <w:rPr>
      <w:rFonts w:ascii="Tahoma" w:hAnsi="Tahoma" w:cs="Tahoma"/>
      <w:sz w:val="16"/>
      <w:szCs w:val="16"/>
    </w:rPr>
  </w:style>
  <w:style w:type="character" w:customStyle="1" w:styleId="10">
    <w:name w:val="Заголовок 1 Знак"/>
    <w:basedOn w:val="a0"/>
    <w:link w:val="1"/>
    <w:uiPriority w:val="9"/>
    <w:rsid w:val="00573265"/>
    <w:rPr>
      <w:rFonts w:ascii="Times New Roman" w:eastAsia="Times New Roman" w:hAnsi="Times New Roman" w:cs="Times New Roman"/>
      <w:b/>
      <w:bCs/>
      <w:kern w:val="36"/>
      <w:sz w:val="48"/>
      <w:szCs w:val="48"/>
      <w:lang w:eastAsia="ru-RU"/>
    </w:rPr>
  </w:style>
  <w:style w:type="character" w:styleId="a5">
    <w:name w:val="Hyperlink"/>
    <w:basedOn w:val="a0"/>
    <w:uiPriority w:val="99"/>
    <w:semiHidden/>
    <w:unhideWhenUsed/>
    <w:rsid w:val="00573265"/>
    <w:rPr>
      <w:color w:val="0000FF"/>
      <w:u w:val="single"/>
    </w:rPr>
  </w:style>
  <w:style w:type="character" w:customStyle="1" w:styleId="fbcount">
    <w:name w:val="fb_count"/>
    <w:basedOn w:val="a0"/>
    <w:rsid w:val="00573265"/>
  </w:style>
  <w:style w:type="paragraph" w:styleId="a6">
    <w:name w:val="Normal (Web)"/>
    <w:basedOn w:val="a"/>
    <w:uiPriority w:val="99"/>
    <w:unhideWhenUsed/>
    <w:rsid w:val="005732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90524581">
      <w:bodyDiv w:val="1"/>
      <w:marLeft w:val="0"/>
      <w:marRight w:val="0"/>
      <w:marTop w:val="0"/>
      <w:marBottom w:val="0"/>
      <w:divBdr>
        <w:top w:val="none" w:sz="0" w:space="0" w:color="auto"/>
        <w:left w:val="none" w:sz="0" w:space="0" w:color="auto"/>
        <w:bottom w:val="none" w:sz="0" w:space="0" w:color="auto"/>
        <w:right w:val="none" w:sz="0" w:space="0" w:color="auto"/>
      </w:divBdr>
      <w:divsChild>
        <w:div w:id="182331129">
          <w:marLeft w:val="0"/>
          <w:marRight w:val="210"/>
          <w:marTop w:val="0"/>
          <w:marBottom w:val="0"/>
          <w:divBdr>
            <w:top w:val="none" w:sz="0" w:space="0" w:color="auto"/>
            <w:left w:val="none" w:sz="0" w:space="0" w:color="auto"/>
            <w:bottom w:val="none" w:sz="0" w:space="0" w:color="auto"/>
            <w:right w:val="none" w:sz="0" w:space="0" w:color="auto"/>
          </w:divBdr>
        </w:div>
        <w:div w:id="821656109">
          <w:marLeft w:val="0"/>
          <w:marRight w:val="0"/>
          <w:marTop w:val="0"/>
          <w:marBottom w:val="165"/>
          <w:divBdr>
            <w:top w:val="none" w:sz="0" w:space="0" w:color="auto"/>
            <w:left w:val="none" w:sz="0" w:space="0" w:color="auto"/>
            <w:bottom w:val="none" w:sz="0" w:space="0" w:color="auto"/>
            <w:right w:val="none" w:sz="0" w:space="0" w:color="auto"/>
          </w:divBdr>
        </w:div>
      </w:divsChild>
    </w:div>
    <w:div w:id="178869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691</Words>
  <Characters>3945</Characters>
  <Application>Microsoft Office Word</Application>
  <DocSecurity>0</DocSecurity>
  <Lines>32</Lines>
  <Paragraphs>9</Paragraphs>
  <ScaleCrop>false</ScaleCrop>
  <Company>Home</Company>
  <LinksUpToDate>false</LinksUpToDate>
  <CharactersWithSpaces>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2015-07-23T18:01:00Z</dcterms:created>
  <dcterms:modified xsi:type="dcterms:W3CDTF">2015-07-23T18:08:00Z</dcterms:modified>
</cp:coreProperties>
</file>