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B47" w:rsidRPr="000B4B47" w:rsidRDefault="000B4B47" w:rsidP="000B4B4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spellStart"/>
      <w:r w:rsidRPr="000B4B47">
        <w:rPr>
          <w:rFonts w:ascii="Arial" w:eastAsia="Times New Roman" w:hAnsi="Arial" w:cs="Arial"/>
          <w:b/>
          <w:bCs/>
          <w:color w:val="000000"/>
          <w:sz w:val="18"/>
          <w:lang w:eastAsia="ru-RU"/>
        </w:rPr>
        <w:t>Prostobank.ua</w:t>
      </w:r>
      <w:proofErr w:type="spellEnd"/>
      <w:r w:rsidRPr="000B4B47">
        <w:rPr>
          <w:rFonts w:ascii="Arial" w:eastAsia="Times New Roman" w:hAnsi="Arial" w:cs="Arial"/>
          <w:b/>
          <w:bCs/>
          <w:color w:val="000000"/>
          <w:sz w:val="18"/>
          <w:lang w:eastAsia="ru-RU"/>
        </w:rPr>
        <w:t xml:space="preserve"> - путеводитель в мире личных финансов</w:t>
      </w:r>
    </w:p>
    <w:p w:rsidR="000B4B47" w:rsidRPr="000B4B47" w:rsidRDefault="000B4B47" w:rsidP="000B4B47">
      <w:pPr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</w:pPr>
      <w:r w:rsidRPr="000B4B47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  <w:t>Зарплата по карточке: трудности перевода в другой банк</w:t>
      </w:r>
    </w:p>
    <w:p w:rsidR="000B4B47" w:rsidRDefault="000B4B47" w:rsidP="000B4B47">
      <w:pPr>
        <w:pStyle w:val="2"/>
        <w:shd w:val="clear" w:color="auto" w:fill="FFFFFF"/>
        <w:spacing w:before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Зарплата на карточке – быстро, удобно, надежно. Именно так размышляют руководители предприятий, переводя свой персонал на карточные </w:t>
      </w:r>
      <w:proofErr w:type="spellStart"/>
      <w:r>
        <w:rPr>
          <w:rFonts w:ascii="Arial" w:hAnsi="Arial" w:cs="Arial"/>
          <w:color w:val="000000"/>
        </w:rPr>
        <w:t>зарплатные</w:t>
      </w:r>
      <w:proofErr w:type="spellEnd"/>
      <w:r>
        <w:rPr>
          <w:rFonts w:ascii="Arial" w:hAnsi="Arial" w:cs="Arial"/>
          <w:color w:val="000000"/>
        </w:rPr>
        <w:t xml:space="preserve"> взаимоотношения.</w:t>
      </w:r>
    </w:p>
    <w:p w:rsidR="000B4B47" w:rsidRPr="000B4B47" w:rsidRDefault="000B4B47" w:rsidP="000B4B47"/>
    <w:p w:rsidR="000B4B47" w:rsidRDefault="000B4B47" w:rsidP="000B4B4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Но ситуации могут быть разные – уход на новую работу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или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же выбор более интересного, по мнению человека, банка. И что делать, в случае, если вы решили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 xml:space="preserve">отказаться от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зарплатного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проекта в банке, который выбрала для вас компания?</w:t>
      </w:r>
    </w:p>
    <w:p w:rsidR="000B4B47" w:rsidRDefault="000B4B47" w:rsidP="000B4B4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Любой сотрудник – вне зависимости от стажа работы в данной компании – вправе потребовать от работодателя платить зарплату через подходящий ему банк, а не тот, где обслуживается фирма-работодатель. Впрочем, об этом в компаниях не говорят, не оставляя за человеком выбора. Что касается суммы, которую взимает банк с фирмы за зачисление денег на счета сотрудников, то она колеблется в пределах 0,05–0,75% от перечисляемой суммы. Подобная разница, особенно при внушительном штате сотрудников, довольно ощутима для бюджета предприятия.</w:t>
      </w:r>
    </w:p>
    <w:p w:rsidR="000B4B47" w:rsidRDefault="000B4B47" w:rsidP="000B4B4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Работнику важно знать, что для получения зарплаты на платежную карту в избранном сотрудником банке необходимо:</w:t>
      </w:r>
    </w:p>
    <w:p w:rsidR="000B4B47" w:rsidRDefault="000B4B47" w:rsidP="000B4B4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написать заявление в бухгалтерию с указанием его реквизитов и номера личного счета</w:t>
      </w:r>
    </w:p>
    <w:p w:rsidR="000B4B47" w:rsidRDefault="000B4B47" w:rsidP="000B4B4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бухгалтерии придется отдельно заключать, а потом и вести договор с другим банком</w:t>
      </w:r>
    </w:p>
    <w:p w:rsidR="000B4B47" w:rsidRDefault="000B4B47" w:rsidP="000B4B4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финансовым представителям компании такой перевод не выгоден потому, что за каждое перечисление заработной платы на «чужую» карту банк будет снимать дополнительный процент, который зависит от размера заработной платы человека и партнерских соглашений с компанией.</w:t>
      </w:r>
    </w:p>
    <w:p w:rsidR="000B4B47" w:rsidRDefault="000B4B47" w:rsidP="000B4B4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Перевод карты из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зарплатной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в </w:t>
      </w:r>
      <w:proofErr w:type="gramStart"/>
      <w:r>
        <w:rPr>
          <w:rFonts w:ascii="Arial" w:hAnsi="Arial" w:cs="Arial"/>
          <w:b/>
          <w:bCs/>
          <w:color w:val="000000"/>
          <w:sz w:val="18"/>
          <w:szCs w:val="18"/>
        </w:rPr>
        <w:t>обычную</w:t>
      </w:r>
      <w:proofErr w:type="gram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дебетовую</w:t>
      </w:r>
    </w:p>
    <w:p w:rsidR="000B4B47" w:rsidRDefault="000B4B47" w:rsidP="000B4B4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Учтите, если Вы один из компании желаете обслуживаться в другом банке, то Ваша карта уже не будет рассматриваться в нем как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зарплатная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и, скорее всего, обслуживание будет стоить дороже. К слову, этим грешат не только некрупные банки, которые не следует выбирать еще и из-за небольшого количества банкоматов, но и вполне крупные учреждения. Стандартно банки-эмитенты устанавливают для владельцев дебетовых карт неснижаемый остаток в размере 6%, но не менее 50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грн</w:t>
      </w:r>
      <w:proofErr w:type="spellEnd"/>
      <w:r>
        <w:rPr>
          <w:rFonts w:ascii="Arial" w:hAnsi="Arial" w:cs="Arial"/>
          <w:color w:val="000000"/>
          <w:sz w:val="18"/>
          <w:szCs w:val="18"/>
        </w:rPr>
        <w:t>.</w:t>
      </w:r>
    </w:p>
    <w:p w:rsidR="000B4B47" w:rsidRDefault="000B4B47" w:rsidP="000B4B4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b/>
          <w:bCs/>
          <w:color w:val="000000"/>
          <w:sz w:val="18"/>
          <w:szCs w:val="18"/>
        </w:rPr>
        <w:t>Сотрудник компании может самостоятельно решить вопрос о переводе средств, для чего необходимо:</w:t>
      </w:r>
    </w:p>
    <w:p w:rsidR="000B4B47" w:rsidRDefault="000B4B47" w:rsidP="000B4B4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обратиться с соответствующим заявлением в банк, где обслуживается предприятие</w:t>
      </w:r>
    </w:p>
    <w:p w:rsidR="000B4B47" w:rsidRDefault="000B4B47" w:rsidP="000B4B4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к заявлению приложить информацию о реквизитах счета в другом банке, на который Вы хотите получать свои кровные</w:t>
      </w:r>
    </w:p>
    <w:p w:rsidR="000B4B47" w:rsidRDefault="000B4B47" w:rsidP="000B4B4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помнить, что, как и в предыдущем случае, новая карточка будет уже не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зарплатной</w:t>
      </w:r>
      <w:proofErr w:type="spellEnd"/>
      <w:r>
        <w:rPr>
          <w:rFonts w:ascii="Arial" w:hAnsi="Arial" w:cs="Arial"/>
          <w:color w:val="000000"/>
          <w:sz w:val="18"/>
          <w:szCs w:val="18"/>
        </w:rPr>
        <w:t>, а обычной дебетовой, что повлечет за собой дополнительные расходы</w:t>
      </w:r>
    </w:p>
    <w:p w:rsidR="000B4B47" w:rsidRDefault="000B4B47" w:rsidP="000B4B4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знать, что все траты на выпуск и обслуживание личной карты ложатся на ваши плечи – в то время как за обслуживание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зарплатных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карт платит предприятие.</w:t>
      </w:r>
    </w:p>
    <w:p w:rsidR="000B4B47" w:rsidRDefault="000B4B47" w:rsidP="000B4B4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не забывать о том, что большинство столичных банков берут определенный процент (0,5–1%) за снятие денег с личного «пластика»</w:t>
      </w:r>
    </w:p>
    <w:p w:rsidR="000B4B47" w:rsidRDefault="000B4B47" w:rsidP="000B4B4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В какие банки лучше переводить «карточную» зарплату</w:t>
      </w:r>
    </w:p>
    <w:p w:rsidR="000B4B47" w:rsidRDefault="000B4B47" w:rsidP="000B4B4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На нашем сайте вы сможете:</w:t>
      </w:r>
    </w:p>
    <w:p w:rsidR="000B4B47" w:rsidRDefault="000B4B47" w:rsidP="000B4B4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найти полезную информацию как правильно использовать </w:t>
      </w:r>
      <w:hyperlink r:id="rId5" w:tgtFrame="_self" w:tooltip="" w:history="1">
        <w:r>
          <w:rPr>
            <w:rStyle w:val="a5"/>
            <w:rFonts w:ascii="Arial" w:hAnsi="Arial" w:cs="Arial"/>
            <w:sz w:val="18"/>
            <w:szCs w:val="18"/>
          </w:rPr>
          <w:t>банкомат</w:t>
        </w:r>
      </w:hyperlink>
      <w:r>
        <w:rPr>
          <w:rFonts w:ascii="Arial" w:hAnsi="Arial" w:cs="Arial"/>
          <w:color w:val="000000"/>
          <w:sz w:val="18"/>
          <w:szCs w:val="18"/>
        </w:rPr>
        <w:t>.</w:t>
      </w:r>
    </w:p>
    <w:p w:rsidR="000B4B47" w:rsidRDefault="000B4B47" w:rsidP="000B4B4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прочесть полезную информацию по </w:t>
      </w:r>
      <w:hyperlink r:id="rId6" w:tgtFrame="_self" w:tooltip="" w:history="1">
        <w:r>
          <w:rPr>
            <w:rStyle w:val="a5"/>
            <w:rFonts w:ascii="Arial" w:hAnsi="Arial" w:cs="Arial"/>
            <w:sz w:val="18"/>
            <w:szCs w:val="18"/>
          </w:rPr>
          <w:t>безопасности пластиковых карт</w:t>
        </w:r>
      </w:hyperlink>
      <w:r>
        <w:rPr>
          <w:rFonts w:ascii="Arial" w:hAnsi="Arial" w:cs="Arial"/>
          <w:color w:val="000000"/>
          <w:sz w:val="18"/>
          <w:szCs w:val="18"/>
        </w:rPr>
        <w:t>, </w:t>
      </w:r>
      <w:hyperlink r:id="rId7" w:tgtFrame="_self" w:tooltip="" w:history="1">
        <w:proofErr w:type="gramStart"/>
        <w:r>
          <w:rPr>
            <w:rStyle w:val="a5"/>
            <w:rFonts w:ascii="Arial" w:hAnsi="Arial" w:cs="Arial"/>
            <w:sz w:val="18"/>
            <w:szCs w:val="18"/>
          </w:rPr>
          <w:t>расчетах</w:t>
        </w:r>
        <w:proofErr w:type="gramEnd"/>
        <w:r>
          <w:rPr>
            <w:rStyle w:val="a5"/>
            <w:rFonts w:ascii="Arial" w:hAnsi="Arial" w:cs="Arial"/>
            <w:sz w:val="18"/>
            <w:szCs w:val="18"/>
          </w:rPr>
          <w:t xml:space="preserve"> картой в интернете</w:t>
        </w:r>
      </w:hyperlink>
      <w:r>
        <w:rPr>
          <w:rFonts w:ascii="Arial" w:hAnsi="Arial" w:cs="Arial"/>
          <w:color w:val="000000"/>
          <w:sz w:val="18"/>
          <w:szCs w:val="18"/>
        </w:rPr>
        <w:t> и не только.</w:t>
      </w:r>
    </w:p>
    <w:p w:rsidR="000B4B47" w:rsidRDefault="000B4B47" w:rsidP="000B4B4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банкоматы всех украинских банков вы сможете найти </w:t>
      </w:r>
      <w:hyperlink r:id="rId8" w:tgtFrame="_self" w:tooltip="" w:history="1">
        <w:r>
          <w:rPr>
            <w:rStyle w:val="a5"/>
            <w:rFonts w:ascii="Arial" w:hAnsi="Arial" w:cs="Arial"/>
            <w:sz w:val="18"/>
            <w:szCs w:val="18"/>
          </w:rPr>
          <w:t>здесь</w:t>
        </w:r>
      </w:hyperlink>
      <w:proofErr w:type="gramStart"/>
      <w:r>
        <w:rPr>
          <w:rStyle w:val="link-vocabulary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 !</w:t>
      </w:r>
      <w:proofErr w:type="gramEnd"/>
    </w:p>
    <w:p w:rsidR="000B4B47" w:rsidRDefault="000B4B47" w:rsidP="000B4B4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Есть еще один момент: принятие банком чужого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зарплатного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счета. Как правило,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финучреждения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работающие в Украине, предпочитают «брать карточки» от партнеров. Идеальный вариант – клиент от банка, с которым у нового финансового института объединены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банкоматные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сети. Идеальный он не только для упрощения первичных расчетов между банками. Потому что финансовая дружба скажется и на клиенте – в виде более низких, чем в недружественном банке, тарифах на обслуживание. Кроме того, если на прошлой работе клиент имел возможность взять под льготные проценты у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зарплатного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 банка кредит и аккуратно по нему рассчитывался, он может претендовать на определенные скидки и в новом банке. Как показал опрос 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Простобанк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Консалтинг», крупные банки весьма неохотно берут «одиночек» из небольших компаний. Как правило, отказывают и тем, кто предлагает слишком много «схем» по начислению – мол, чтобы компания налогов меньше платила.</w:t>
      </w:r>
    </w:p>
    <w:p w:rsidR="000B4B47" w:rsidRDefault="000B4B47" w:rsidP="000B4B4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b/>
          <w:bCs/>
          <w:color w:val="000000"/>
          <w:sz w:val="18"/>
          <w:szCs w:val="18"/>
        </w:rPr>
        <w:t>Полезные советы</w:t>
      </w:r>
    </w:p>
    <w:p w:rsidR="000B4B47" w:rsidRDefault="000B4B47" w:rsidP="000B4B47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Если предприятие под большой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зарплатный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проект открывает карточку на конкретного человека (и, следовательно, он ее конечный хозяин) – отвечать за переводы в другой банк будет только он.</w:t>
      </w:r>
    </w:p>
    <w:p w:rsidR="000B4B47" w:rsidRDefault="000B4B47" w:rsidP="000B4B47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Если владельцем карточки является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юрлицо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(организация), то для перевода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зарплатных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средств должны быть основания (регулируемые, как правило, договорными отношениями). Это заработная плата, материальная помощь, компенсация за неиспользованный отпуск, оплата по договору гражданско-правового характера, единовременное пособие при рождении ребенка и прочие. В большинстве этих случаев предприятие должно выступить как налоговый агент – а именно удержать и перечислить за Вас все положенные налоги, а также отчитаться в соответствующие органы. То же самое касается перевода зарплаты сотрудника в другой банк.</w:t>
      </w:r>
    </w:p>
    <w:p w:rsidR="000B4B47" w:rsidRDefault="000B4B47" w:rsidP="000B4B47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Если Вы остаетесь работать в компании, но хотите обслуживать свои средства в другом банке, постарайтесь решить этот вопрос с бухгалтерией полюбовно.</w:t>
      </w:r>
    </w:p>
    <w:p w:rsidR="000B4B47" w:rsidRDefault="000B4B47" w:rsidP="000B4B47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Что касается решения от банка, то, возможно, его придется ждать месяц или даже больше.</w:t>
      </w:r>
    </w:p>
    <w:p w:rsidR="000B53CE" w:rsidRPr="000B4B47" w:rsidRDefault="000B4B47" w:rsidP="000B4B47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Делая выбор в пользу другого банка, изучите внимательно и количество и месторасположение его банкоматов, и особенности пользования карточкой (остаток на счете, комиссия у банков-партнеров, дополнительные возможности). Ведь второй раз банк, который Вы когда-то спешно покинули, вряд ли откроет пред Вами гостеприимно двери.</w:t>
      </w:r>
    </w:p>
    <w:sectPr w:rsidR="000B53CE" w:rsidRPr="000B4B47" w:rsidSect="000B4B47"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6315F"/>
    <w:multiLevelType w:val="multilevel"/>
    <w:tmpl w:val="68A4D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96703C"/>
    <w:multiLevelType w:val="multilevel"/>
    <w:tmpl w:val="F17EF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C33A1D"/>
    <w:multiLevelType w:val="multilevel"/>
    <w:tmpl w:val="490CB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AD4E41"/>
    <w:multiLevelType w:val="multilevel"/>
    <w:tmpl w:val="B2225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B4B47"/>
    <w:rsid w:val="000B4B47"/>
    <w:rsid w:val="000B5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3CE"/>
  </w:style>
  <w:style w:type="paragraph" w:styleId="1">
    <w:name w:val="heading 1"/>
    <w:basedOn w:val="a"/>
    <w:link w:val="10"/>
    <w:uiPriority w:val="9"/>
    <w:qFormat/>
    <w:rsid w:val="000B4B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B4B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B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B4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B4B4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B4B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0B4B47"/>
  </w:style>
  <w:style w:type="character" w:styleId="a5">
    <w:name w:val="Hyperlink"/>
    <w:basedOn w:val="a0"/>
    <w:uiPriority w:val="99"/>
    <w:semiHidden/>
    <w:unhideWhenUsed/>
    <w:rsid w:val="000B4B47"/>
    <w:rPr>
      <w:color w:val="0000FF"/>
      <w:u w:val="single"/>
    </w:rPr>
  </w:style>
  <w:style w:type="character" w:customStyle="1" w:styleId="link-vocabulary">
    <w:name w:val="link-vocabulary"/>
    <w:basedOn w:val="a0"/>
    <w:rsid w:val="000B4B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0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02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stobank.ua/spravochniki/bankomat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ostobank.ua/plastikovye_karty/(tag)/raschety_v_internet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ostobank.ua/plastikovye_karty/(tag)/bezopasnost_plastikovoy_karty" TargetMode="External"/><Relationship Id="rId5" Type="http://schemas.openxmlformats.org/officeDocument/2006/relationships/hyperlink" Target="http://www.prostobank.ua/plastikovye_karty/(tag)/obschenie_s_bankomat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862</Words>
  <Characters>4915</Characters>
  <Application>Microsoft Office Word</Application>
  <DocSecurity>0</DocSecurity>
  <Lines>40</Lines>
  <Paragraphs>11</Paragraphs>
  <ScaleCrop>false</ScaleCrop>
  <Company>Home</Company>
  <LinksUpToDate>false</LinksUpToDate>
  <CharactersWithSpaces>5766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2015-07-23T17:45:00Z</dcterms:created>
  <dcterms:modified xsi:type="dcterms:W3CDTF">2015-07-23T17:46:00Z</dcterms:modified>
</cp:coreProperties>
</file>